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1D932" w14:textId="2DEB16D9" w:rsidR="003C4BF1" w:rsidRPr="003C4BF1" w:rsidRDefault="003C4BF1" w:rsidP="003C4BF1">
      <w:pPr>
        <w:pStyle w:val="a3"/>
        <w:tabs>
          <w:tab w:val="right" w:pos="9639"/>
        </w:tabs>
        <w:rPr>
          <w:rFonts w:eastAsia="MS Mincho"/>
          <w:noProof w:val="0"/>
          <w:sz w:val="24"/>
          <w:szCs w:val="24"/>
          <w:lang w:val="en-GB" w:eastAsia="en-GB"/>
        </w:rPr>
      </w:pPr>
      <w:r w:rsidRPr="003C4BF1">
        <w:rPr>
          <w:rFonts w:eastAsia="MS Mincho"/>
          <w:noProof w:val="0"/>
          <w:sz w:val="24"/>
          <w:szCs w:val="24"/>
          <w:lang w:val="en-GB" w:eastAsia="en-GB"/>
        </w:rPr>
        <w:t>3GPP TSG-RAN WG2 Meeting #121</w:t>
      </w:r>
      <w:r w:rsidRPr="003C4BF1">
        <w:rPr>
          <w:rFonts w:eastAsia="MS Mincho"/>
          <w:noProof w:val="0"/>
          <w:sz w:val="24"/>
          <w:szCs w:val="24"/>
          <w:lang w:val="en-GB" w:eastAsia="en-GB"/>
        </w:rPr>
        <w:tab/>
      </w:r>
      <w:r w:rsidR="00F670CF" w:rsidRPr="00F670CF">
        <w:rPr>
          <w:rFonts w:eastAsia="MS Mincho"/>
          <w:noProof w:val="0"/>
          <w:sz w:val="24"/>
          <w:szCs w:val="24"/>
          <w:lang w:val="en-GB" w:eastAsia="en-GB"/>
        </w:rPr>
        <w:t>R2-2300980</w:t>
      </w:r>
    </w:p>
    <w:p w14:paraId="4AA29EF9" w14:textId="3C14BEB4" w:rsidR="00934AFD" w:rsidRPr="001C7FAA" w:rsidRDefault="003C4BF1" w:rsidP="003C4BF1">
      <w:pPr>
        <w:pStyle w:val="a3"/>
        <w:tabs>
          <w:tab w:val="right" w:pos="9639"/>
        </w:tabs>
        <w:jc w:val="both"/>
        <w:rPr>
          <w:rFonts w:cs="Arial"/>
          <w:b w:val="0"/>
          <w:bCs/>
          <w:i/>
          <w:iCs/>
          <w:sz w:val="24"/>
          <w:lang w:eastAsia="zh-CN"/>
        </w:rPr>
      </w:pPr>
      <w:r w:rsidRPr="003C4BF1">
        <w:rPr>
          <w:rFonts w:eastAsia="MS Mincho"/>
          <w:noProof w:val="0"/>
          <w:sz w:val="24"/>
          <w:szCs w:val="24"/>
          <w:lang w:val="en-GB" w:eastAsia="en-GB"/>
        </w:rPr>
        <w:t>Athens, Greece, February-March 202</w:t>
      </w:r>
      <w:r w:rsidR="0055762E">
        <w:rPr>
          <w:rFonts w:eastAsia="MS Mincho"/>
          <w:noProof w:val="0"/>
          <w:sz w:val="24"/>
          <w:szCs w:val="24"/>
          <w:lang w:val="en-GB" w:eastAsia="en-GB"/>
        </w:rPr>
        <w:t>3</w:t>
      </w:r>
      <w:r w:rsidR="00000D91">
        <w:rPr>
          <w:rFonts w:eastAsia="MS Mincho"/>
          <w:noProof w:val="0"/>
          <w:sz w:val="24"/>
          <w:szCs w:val="24"/>
          <w:lang w:val="en-GB" w:eastAsia="en-GB"/>
        </w:rPr>
        <w:t xml:space="preserve">                       </w:t>
      </w:r>
      <w:r w:rsidR="00787398" w:rsidRPr="00787398">
        <w:rPr>
          <w:rFonts w:eastAsia="MS Mincho"/>
          <w:b w:val="0"/>
          <w:bCs/>
          <w:i/>
          <w:iCs/>
          <w:noProof w:val="0"/>
          <w:sz w:val="24"/>
          <w:szCs w:val="24"/>
          <w:lang w:val="en-GB" w:eastAsia="en-GB"/>
        </w:rPr>
        <w:t>Revision of R2-22</w:t>
      </w:r>
      <w:r>
        <w:rPr>
          <w:rFonts w:eastAsia="MS Mincho"/>
          <w:b w:val="0"/>
          <w:bCs/>
          <w:i/>
          <w:iCs/>
          <w:noProof w:val="0"/>
          <w:sz w:val="24"/>
          <w:szCs w:val="24"/>
          <w:lang w:val="en-GB" w:eastAsia="en-GB"/>
        </w:rPr>
        <w:t>12045</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3291B42"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8.6.3</w:t>
      </w:r>
      <w:r w:rsidR="00787398">
        <w:rPr>
          <w:rFonts w:eastAsia="宋体" w:cs="Arial" w:hint="eastAsia"/>
          <w:b/>
          <w:bCs/>
          <w:kern w:val="2"/>
          <w:sz w:val="24"/>
          <w:szCs w:val="22"/>
          <w:lang w:val="en-US" w:eastAsia="zh-CN"/>
        </w:rPr>
        <w:t>.</w:t>
      </w:r>
      <w:r w:rsidR="00787398">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E14278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00D91">
        <w:rPr>
          <w:rFonts w:ascii="Arial" w:hAnsi="Arial" w:cs="Arial"/>
          <w:b/>
          <w:bCs/>
          <w:sz w:val="24"/>
        </w:rPr>
        <w:t xml:space="preserve">CONNECTED </w:t>
      </w:r>
      <w:r w:rsidR="00D564BF" w:rsidRPr="00D564BF">
        <w:rPr>
          <w:rFonts w:ascii="Arial" w:hAnsi="Arial" w:cs="Arial"/>
          <w:b/>
          <w:bCs/>
          <w:sz w:val="24"/>
        </w:rPr>
        <w:t>neighbour cell measurement</w:t>
      </w:r>
      <w:r w:rsidR="00EC6417">
        <w:rPr>
          <w:rFonts w:ascii="Arial" w:hAnsi="Arial" w:cs="Arial"/>
          <w:b/>
          <w:bCs/>
          <w:sz w:val="24"/>
        </w:rPr>
        <w:t xml:space="preserve"> for NB-IoT</w:t>
      </w:r>
      <w:r w:rsidR="006F5D23">
        <w:rPr>
          <w:rFonts w:ascii="Arial" w:hAnsi="Arial" w:cs="Arial"/>
          <w:b/>
          <w:bCs/>
          <w:sz w:val="24"/>
        </w:rPr>
        <w:t xml:space="preserve">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1B090EE6" w:rsidR="00D564BF" w:rsidRDefault="009F55FB" w:rsidP="000B6AD1">
      <w:pPr>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latest RAN2#1</w:t>
      </w:r>
      <w:r w:rsidR="00DA7F76">
        <w:rPr>
          <w:rFonts w:ascii="Times New Roman" w:hAnsi="Times New Roman"/>
          <w:sz w:val="20"/>
          <w:szCs w:val="20"/>
        </w:rPr>
        <w:t>20</w:t>
      </w:r>
      <w:r>
        <w:rPr>
          <w:rFonts w:ascii="Times New Roman" w:hAnsi="Times New Roman"/>
          <w:sz w:val="20"/>
          <w:szCs w:val="20"/>
        </w:rPr>
        <w:t xml:space="preserve"> meeting made the following agreements regarding</w:t>
      </w:r>
      <w:r w:rsidR="00BD756E" w:rsidRPr="00BD756E">
        <w:t xml:space="preserve"> </w:t>
      </w:r>
      <w:r w:rsidR="00BD756E" w:rsidRPr="00BD756E">
        <w:rPr>
          <w:rFonts w:ascii="Times New Roman" w:hAnsi="Times New Roman"/>
          <w:sz w:val="20"/>
          <w:szCs w:val="20"/>
        </w:rPr>
        <w:t>CONNECTED neighbour cell measurement for NB-IoT</w:t>
      </w:r>
      <w:r w:rsidR="00BD756E">
        <w:rPr>
          <w:rFonts w:ascii="Times New Roman" w:hAnsi="Times New Roman"/>
          <w:sz w:val="20"/>
          <w:szCs w:val="20"/>
        </w:rPr>
        <w:t xml:space="preserve"> in NTN</w:t>
      </w:r>
      <w:r w:rsidR="009B4F09">
        <w:rPr>
          <w:rFonts w:ascii="Times New Roman" w:hAnsi="Times New Roman"/>
          <w:sz w:val="20"/>
          <w:szCs w:val="20"/>
        </w:rPr>
        <w:t>:</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20102A60" w14:textId="77777777" w:rsidR="009F55FB" w:rsidRPr="009F55FB" w:rsidRDefault="009F55FB" w:rsidP="009F55FB">
            <w:pPr>
              <w:rPr>
                <w:rFonts w:ascii="Times New Roman" w:hAnsi="Times New Roman"/>
                <w:bCs/>
              </w:rPr>
            </w:pPr>
            <w:r w:rsidRPr="009F55FB">
              <w:rPr>
                <w:rFonts w:ascii="Times New Roman" w:hAnsi="Times New Roman"/>
                <w:bCs/>
              </w:rPr>
              <w:t>Agreements:</w:t>
            </w:r>
          </w:p>
          <w:p w14:paraId="6A9B49CB" w14:textId="63204D44" w:rsidR="00DA7F76" w:rsidRPr="00DA7F76" w:rsidRDefault="00DA7F76" w:rsidP="00DA7F76">
            <w:pPr>
              <w:pStyle w:val="a6"/>
              <w:numPr>
                <w:ilvl w:val="0"/>
                <w:numId w:val="49"/>
              </w:numPr>
              <w:spacing w:after="0"/>
              <w:ind w:firstLineChars="0"/>
              <w:rPr>
                <w:bCs/>
              </w:rPr>
            </w:pPr>
            <w:r w:rsidRPr="00DA7F76">
              <w:rPr>
                <w:bCs/>
              </w:rPr>
              <w:t xml:space="preserve">For NB-IoT we support a trigger for neighbour cell measurements based on </w:t>
            </w:r>
            <w:r w:rsidR="00F9118D">
              <w:rPr>
                <w:bCs/>
              </w:rPr>
              <w:t>t</w:t>
            </w:r>
            <w:r w:rsidRPr="00DA7F76">
              <w:rPr>
                <w:bCs/>
              </w:rPr>
              <w:t>-</w:t>
            </w:r>
            <w:r w:rsidR="00F9118D">
              <w:rPr>
                <w:bCs/>
              </w:rPr>
              <w:t>S</w:t>
            </w:r>
            <w:r w:rsidRPr="00DA7F76">
              <w:rPr>
                <w:bCs/>
              </w:rPr>
              <w:t>ervice (in the quasi-Earth fixed case) (this does not preclude anything for eMTC discussion)</w:t>
            </w:r>
          </w:p>
          <w:p w14:paraId="3B850DA2" w14:textId="77777777" w:rsidR="00DA7F76" w:rsidRPr="00DA7F76" w:rsidRDefault="00DA7F76" w:rsidP="00DA7F76">
            <w:pPr>
              <w:pStyle w:val="a6"/>
              <w:numPr>
                <w:ilvl w:val="0"/>
                <w:numId w:val="49"/>
              </w:numPr>
              <w:spacing w:after="0"/>
              <w:ind w:firstLineChars="0"/>
              <w:rPr>
                <w:bCs/>
              </w:rPr>
            </w:pPr>
            <w:r w:rsidRPr="00DA7F76">
              <w:rPr>
                <w:bCs/>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A68C216" w14:textId="77777777" w:rsidR="00DA7F76" w:rsidRPr="00DA7F76" w:rsidRDefault="00DA7F76" w:rsidP="00DA7F76">
            <w:pPr>
              <w:pStyle w:val="a6"/>
              <w:numPr>
                <w:ilvl w:val="0"/>
                <w:numId w:val="49"/>
              </w:numPr>
              <w:spacing w:after="0"/>
              <w:ind w:firstLineChars="0"/>
              <w:rPr>
                <w:bCs/>
              </w:rPr>
            </w:pPr>
            <w:r w:rsidRPr="00DA7F76">
              <w:rPr>
                <w:bCs/>
              </w:rPr>
              <w:t>RAN2 will not specify the condition of stopping UE measurement before t-Service</w:t>
            </w:r>
          </w:p>
          <w:p w14:paraId="1FEAB5B6" w14:textId="77777777" w:rsidR="00DA7F76" w:rsidRPr="00DA7F76" w:rsidRDefault="00DA7F76" w:rsidP="00DA7F76">
            <w:pPr>
              <w:pStyle w:val="a6"/>
              <w:numPr>
                <w:ilvl w:val="0"/>
                <w:numId w:val="49"/>
              </w:numPr>
              <w:spacing w:after="0"/>
              <w:ind w:firstLineChars="0"/>
              <w:rPr>
                <w:bCs/>
              </w:rPr>
            </w:pPr>
            <w:r w:rsidRPr="00DA7F76">
              <w:rPr>
                <w:bCs/>
              </w:rPr>
              <w:t>For earth-moving cell, the UE derives when loss of coverage of current cell happens (how to derive this information is FFS)</w:t>
            </w:r>
          </w:p>
          <w:p w14:paraId="73316F8C" w14:textId="6C885BE0" w:rsidR="00DA7F76" w:rsidRPr="00DA7F76" w:rsidRDefault="00DA7F76" w:rsidP="00DA7F76">
            <w:pPr>
              <w:pStyle w:val="a6"/>
              <w:numPr>
                <w:ilvl w:val="0"/>
                <w:numId w:val="49"/>
              </w:numPr>
              <w:spacing w:after="0"/>
              <w:ind w:firstLineChars="0"/>
              <w:rPr>
                <w:bCs/>
              </w:rPr>
            </w:pPr>
            <w:r w:rsidRPr="00DA7F76">
              <w:rPr>
                <w:bCs/>
              </w:rPr>
              <w:t>For earth-moving cell, UE shall start intra/inter frequency measurements in RRC connected mode before losing coverage. The exact time to start measurements can be left to UE implementation</w:t>
            </w:r>
          </w:p>
        </w:tc>
      </w:tr>
    </w:tbl>
    <w:p w14:paraId="6DA7073D" w14:textId="2431BA42"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994170">
        <w:rPr>
          <w:rFonts w:ascii="Times New Roman" w:hAnsi="Times New Roman"/>
          <w:sz w:val="20"/>
          <w:szCs w:val="20"/>
        </w:rPr>
        <w:t xml:space="preserve">further discuss </w:t>
      </w:r>
      <w:r w:rsidRPr="009B4F09">
        <w:rPr>
          <w:rFonts w:ascii="Times New Roman" w:hAnsi="Times New Roman"/>
          <w:sz w:val="20"/>
          <w:szCs w:val="20"/>
        </w:rPr>
        <w:t>NB-IoT</w:t>
      </w:r>
      <w:r>
        <w:rPr>
          <w:rFonts w:ascii="Times New Roman" w:hAnsi="Times New Roman"/>
          <w:sz w:val="20"/>
          <w:szCs w:val="20"/>
        </w:rPr>
        <w:t xml:space="preserve"> CONNECTED mode </w:t>
      </w:r>
      <w:r w:rsidRPr="009B4F09">
        <w:rPr>
          <w:rFonts w:ascii="Times New Roman" w:hAnsi="Times New Roman"/>
          <w:sz w:val="20"/>
          <w:szCs w:val="20"/>
        </w:rPr>
        <w:t>neighbour cell measurement</w:t>
      </w:r>
      <w:r w:rsidR="000E18AA">
        <w:rPr>
          <w:rFonts w:ascii="Times New Roman" w:hAnsi="Times New Roman"/>
          <w:sz w:val="20"/>
          <w:szCs w:val="20"/>
        </w:rPr>
        <w:t xml:space="preserve"> and </w:t>
      </w:r>
      <w:r w:rsidR="00994170">
        <w:rPr>
          <w:rFonts w:ascii="Times New Roman" w:hAnsi="Times New Roman"/>
          <w:sz w:val="20"/>
          <w:szCs w:val="20"/>
        </w:rPr>
        <w:t>provide</w:t>
      </w:r>
      <w:r w:rsidR="000E18AA">
        <w:rPr>
          <w:rFonts w:ascii="Times New Roman" w:hAnsi="Times New Roman"/>
          <w:sz w:val="20"/>
          <w:szCs w:val="20"/>
        </w:rPr>
        <w:t xml:space="preserve"> some options to solve the </w:t>
      </w:r>
      <w:r w:rsidR="00BD756E">
        <w:rPr>
          <w:rFonts w:ascii="Times New Roman" w:hAnsi="Times New Roman"/>
          <w:sz w:val="20"/>
          <w:szCs w:val="20"/>
        </w:rPr>
        <w:t>remaining</w:t>
      </w:r>
      <w:r w:rsidR="000E18AA">
        <w:rPr>
          <w:rFonts w:ascii="Times New Roman" w:hAnsi="Times New Roman"/>
          <w:sz w:val="20"/>
          <w:szCs w:val="20"/>
        </w:rPr>
        <w:t xml:space="preserve"> issues</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98532D3" w14:textId="1428F336" w:rsidR="005B1447" w:rsidRDefault="00BF59EA" w:rsidP="00994170">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the latest RAN2#1</w:t>
      </w:r>
      <w:r w:rsidR="00F9118D">
        <w:rPr>
          <w:rFonts w:ascii="Times New Roman" w:hAnsi="Times New Roman"/>
          <w:sz w:val="20"/>
          <w:szCs w:val="20"/>
        </w:rPr>
        <w:t>20</w:t>
      </w:r>
      <w:r>
        <w:rPr>
          <w:rFonts w:ascii="Times New Roman" w:hAnsi="Times New Roman"/>
          <w:sz w:val="20"/>
          <w:szCs w:val="20"/>
        </w:rPr>
        <w:t xml:space="preserve"> meeting, it was agreed to </w:t>
      </w:r>
      <w:r w:rsidRPr="00BF59EA">
        <w:rPr>
          <w:rFonts w:ascii="Times New Roman" w:hAnsi="Times New Roman"/>
          <w:sz w:val="20"/>
          <w:szCs w:val="20"/>
        </w:rPr>
        <w:t>work on a trigger</w:t>
      </w:r>
      <w:r>
        <w:rPr>
          <w:rFonts w:ascii="Times New Roman" w:hAnsi="Times New Roman"/>
          <w:sz w:val="20"/>
          <w:szCs w:val="20"/>
        </w:rPr>
        <w:t xml:space="preserve"> </w:t>
      </w:r>
      <w:r w:rsidR="00F9118D">
        <w:rPr>
          <w:rFonts w:ascii="Times New Roman" w:hAnsi="Times New Roman"/>
          <w:sz w:val="20"/>
          <w:szCs w:val="20"/>
        </w:rPr>
        <w:t xml:space="preserve">based on </w:t>
      </w:r>
      <w:r w:rsidR="00F9118D" w:rsidRPr="00F9118D">
        <w:rPr>
          <w:rFonts w:ascii="Times New Roman" w:hAnsi="Times New Roman"/>
          <w:i/>
          <w:iCs/>
          <w:sz w:val="20"/>
          <w:szCs w:val="20"/>
        </w:rPr>
        <w:t>t-Service</w:t>
      </w:r>
      <w:r w:rsidR="00F9118D">
        <w:rPr>
          <w:rFonts w:ascii="Times New Roman" w:hAnsi="Times New Roman"/>
          <w:sz w:val="20"/>
          <w:szCs w:val="20"/>
        </w:rPr>
        <w:t xml:space="preserve"> f</w:t>
      </w:r>
      <w:r>
        <w:rPr>
          <w:rFonts w:ascii="Times New Roman" w:hAnsi="Times New Roman"/>
          <w:sz w:val="20"/>
          <w:szCs w:val="20"/>
        </w:rPr>
        <w:t>or quasi-Earth-fixed cells</w:t>
      </w:r>
      <w:r w:rsidR="00F9118D">
        <w:rPr>
          <w:rFonts w:ascii="Times New Roman" w:hAnsi="Times New Roman"/>
          <w:sz w:val="20"/>
          <w:szCs w:val="20"/>
        </w:rPr>
        <w:t>, wherein</w:t>
      </w:r>
      <w:r>
        <w:rPr>
          <w:rFonts w:ascii="Times New Roman" w:hAnsi="Times New Roman"/>
          <w:sz w:val="20"/>
          <w:szCs w:val="20"/>
        </w:rPr>
        <w:t xml:space="preserve"> the implementation could be much easier as the </w:t>
      </w:r>
      <w:r w:rsidR="00A409AD" w:rsidRPr="00A409AD">
        <w:rPr>
          <w:rFonts w:ascii="Times New Roman" w:hAnsi="Times New Roman"/>
          <w:i/>
          <w:iCs/>
          <w:sz w:val="20"/>
          <w:szCs w:val="20"/>
        </w:rPr>
        <w:t>t-Service</w:t>
      </w:r>
      <w:r w:rsidR="00A409AD">
        <w:rPr>
          <w:rFonts w:ascii="Times New Roman" w:hAnsi="Times New Roman"/>
          <w:sz w:val="20"/>
          <w:szCs w:val="20"/>
        </w:rPr>
        <w:t xml:space="preserve"> </w:t>
      </w:r>
      <w:r>
        <w:rPr>
          <w:rFonts w:ascii="Times New Roman" w:hAnsi="Times New Roman"/>
          <w:sz w:val="20"/>
          <w:szCs w:val="20"/>
        </w:rPr>
        <w:t>is cell-specific</w:t>
      </w:r>
      <w:r w:rsidR="00A409AD">
        <w:rPr>
          <w:rFonts w:ascii="Times New Roman" w:hAnsi="Times New Roman"/>
          <w:sz w:val="20"/>
          <w:szCs w:val="20"/>
        </w:rPr>
        <w:t xml:space="preserve">, and thus </w:t>
      </w:r>
      <w:r w:rsidR="005B1447">
        <w:rPr>
          <w:rFonts w:ascii="Times New Roman" w:hAnsi="Times New Roman"/>
          <w:sz w:val="20"/>
          <w:szCs w:val="20"/>
        </w:rPr>
        <w:t>eNB</w:t>
      </w:r>
      <w:r w:rsidR="00A409AD">
        <w:rPr>
          <w:rFonts w:ascii="Times New Roman" w:hAnsi="Times New Roman"/>
          <w:sz w:val="20"/>
          <w:szCs w:val="20"/>
        </w:rPr>
        <w:t xml:space="preserve"> can indicate UE to initiate measurement before </w:t>
      </w:r>
      <w:r w:rsidR="00A409AD" w:rsidRPr="00A409AD">
        <w:rPr>
          <w:rFonts w:ascii="Times New Roman" w:hAnsi="Times New Roman"/>
          <w:i/>
          <w:iCs/>
          <w:sz w:val="20"/>
          <w:szCs w:val="20"/>
        </w:rPr>
        <w:t>t-Service</w:t>
      </w:r>
      <w:r w:rsidR="00A409AD">
        <w:rPr>
          <w:rFonts w:ascii="Times New Roman" w:hAnsi="Times New Roman"/>
          <w:sz w:val="20"/>
          <w:szCs w:val="20"/>
        </w:rPr>
        <w:t>. For Earth-moving cells the actual stop serving time is location-specific and thus UE-specific, making it a bit more complicated for triggering the measurement.</w:t>
      </w:r>
      <w:r w:rsidR="00F9118D">
        <w:rPr>
          <w:rFonts w:ascii="Times New Roman" w:hAnsi="Times New Roman"/>
          <w:sz w:val="20"/>
          <w:szCs w:val="20"/>
        </w:rPr>
        <w:t xml:space="preserve"> To help </w:t>
      </w:r>
      <w:r w:rsidR="00F9118D" w:rsidRPr="00F9118D">
        <w:rPr>
          <w:rFonts w:ascii="Times New Roman" w:hAnsi="Times New Roman"/>
          <w:sz w:val="20"/>
          <w:szCs w:val="20"/>
        </w:rPr>
        <w:t>the UE derive when loss of coverage of current cell happens</w:t>
      </w:r>
      <w:r w:rsidR="00F9118D">
        <w:rPr>
          <w:rFonts w:ascii="Times New Roman" w:hAnsi="Times New Roman"/>
          <w:sz w:val="20"/>
          <w:szCs w:val="20"/>
        </w:rPr>
        <w:t>,</w:t>
      </w:r>
      <w:r w:rsidR="005B1447">
        <w:rPr>
          <w:rFonts w:ascii="Times New Roman" w:hAnsi="Times New Roman"/>
          <w:sz w:val="20"/>
          <w:szCs w:val="20"/>
        </w:rPr>
        <w:t xml:space="preserve"> eNB may need to indicate assistance information to help UE determine the stop serving time.</w:t>
      </w:r>
    </w:p>
    <w:p w14:paraId="1F252B56" w14:textId="00AA20B8" w:rsidR="005B1447" w:rsidRPr="005B1447" w:rsidRDefault="005B1447" w:rsidP="00994170">
      <w:pPr>
        <w:rPr>
          <w:rFonts w:ascii="Times New Roman" w:hAnsi="Times New Roman"/>
          <w:b/>
          <w:bCs/>
          <w:sz w:val="20"/>
          <w:szCs w:val="20"/>
        </w:rPr>
      </w:pPr>
      <w:r w:rsidRPr="005B1447">
        <w:rPr>
          <w:rFonts w:ascii="Times New Roman" w:hAnsi="Times New Roman"/>
          <w:b/>
          <w:bCs/>
          <w:sz w:val="20"/>
          <w:szCs w:val="20"/>
        </w:rPr>
        <w:t xml:space="preserve">Observation </w:t>
      </w:r>
      <w:r w:rsidR="00F9118D">
        <w:rPr>
          <w:rFonts w:ascii="Times New Roman" w:hAnsi="Times New Roman"/>
          <w:b/>
          <w:bCs/>
          <w:sz w:val="20"/>
          <w:szCs w:val="20"/>
        </w:rPr>
        <w:t>1</w:t>
      </w:r>
      <w:r w:rsidRPr="005B1447">
        <w:rPr>
          <w:rFonts w:ascii="Times New Roman" w:hAnsi="Times New Roman"/>
          <w:b/>
          <w:bCs/>
          <w:sz w:val="20"/>
          <w:szCs w:val="20"/>
        </w:rPr>
        <w:t>: At least for Earth-moving cells, time-based trigger may not be simply implemented by eNB indication and further assistance information could be necessary.</w:t>
      </w:r>
    </w:p>
    <w:p w14:paraId="394E6B30" w14:textId="4443956F" w:rsidR="005B1447" w:rsidRDefault="005B1447" w:rsidP="00994170">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therefore:</w:t>
      </w:r>
    </w:p>
    <w:p w14:paraId="6FC88C74" w14:textId="4A32ED65" w:rsidR="005B1447" w:rsidRPr="00EF1C3D" w:rsidRDefault="005B1447" w:rsidP="00994170">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sidR="00F9118D">
        <w:rPr>
          <w:rFonts w:ascii="Times New Roman" w:hAnsi="Times New Roman"/>
          <w:b/>
          <w:bCs/>
          <w:sz w:val="20"/>
          <w:szCs w:val="20"/>
        </w:rPr>
        <w:t>1</w:t>
      </w:r>
      <w:r w:rsidRPr="00EF1C3D">
        <w:rPr>
          <w:rFonts w:ascii="Times New Roman" w:hAnsi="Times New Roman"/>
          <w:b/>
          <w:bCs/>
          <w:sz w:val="20"/>
          <w:szCs w:val="20"/>
        </w:rPr>
        <w:t>: For time-based trigger</w:t>
      </w:r>
      <w:r w:rsidR="00EF1C3D" w:rsidRPr="00EF1C3D">
        <w:rPr>
          <w:rFonts w:ascii="Times New Roman" w:hAnsi="Times New Roman"/>
          <w:b/>
          <w:bCs/>
          <w:sz w:val="20"/>
          <w:szCs w:val="20"/>
        </w:rPr>
        <w:t xml:space="preserve"> in Earth-moving cells</w:t>
      </w:r>
      <w:r w:rsidRPr="00EF1C3D">
        <w:rPr>
          <w:rFonts w:ascii="Times New Roman" w:hAnsi="Times New Roman"/>
          <w:b/>
          <w:bCs/>
          <w:sz w:val="20"/>
          <w:szCs w:val="20"/>
        </w:rPr>
        <w:t xml:space="preserve">, RAN2 to discuss </w:t>
      </w:r>
      <w:r w:rsidR="00F9118D">
        <w:rPr>
          <w:rFonts w:ascii="Times New Roman" w:hAnsi="Times New Roman"/>
          <w:b/>
          <w:bCs/>
          <w:sz w:val="20"/>
          <w:szCs w:val="20"/>
        </w:rPr>
        <w:t>what</w:t>
      </w:r>
      <w:r w:rsidR="00EF1C3D" w:rsidRPr="00EF1C3D">
        <w:rPr>
          <w:rFonts w:ascii="Times New Roman" w:hAnsi="Times New Roman"/>
          <w:b/>
          <w:bCs/>
          <w:sz w:val="20"/>
          <w:szCs w:val="20"/>
        </w:rPr>
        <w:t xml:space="preserve"> </w:t>
      </w:r>
      <w:r w:rsidR="00F9118D" w:rsidRPr="00EF1C3D">
        <w:rPr>
          <w:rFonts w:ascii="Times New Roman" w:hAnsi="Times New Roman"/>
          <w:b/>
          <w:bCs/>
          <w:sz w:val="20"/>
          <w:szCs w:val="20"/>
        </w:rPr>
        <w:t xml:space="preserve">assistance information </w:t>
      </w:r>
      <w:r w:rsidR="00F9118D">
        <w:rPr>
          <w:rFonts w:ascii="Times New Roman" w:hAnsi="Times New Roman"/>
          <w:b/>
          <w:bCs/>
          <w:sz w:val="20"/>
          <w:szCs w:val="20"/>
        </w:rPr>
        <w:t xml:space="preserve">shall </w:t>
      </w:r>
      <w:r w:rsidR="00EF1C3D" w:rsidRPr="00EF1C3D">
        <w:rPr>
          <w:rFonts w:ascii="Times New Roman" w:hAnsi="Times New Roman"/>
          <w:b/>
          <w:bCs/>
          <w:sz w:val="20"/>
          <w:szCs w:val="20"/>
        </w:rPr>
        <w:t xml:space="preserve">eNB provide to help UE determine </w:t>
      </w:r>
      <w:r w:rsidR="00F9118D">
        <w:rPr>
          <w:rFonts w:ascii="Times New Roman" w:hAnsi="Times New Roman"/>
          <w:b/>
          <w:bCs/>
          <w:sz w:val="20"/>
          <w:szCs w:val="20"/>
        </w:rPr>
        <w:t>the</w:t>
      </w:r>
      <w:r w:rsidR="00EF1C3D" w:rsidRPr="00EF1C3D">
        <w:rPr>
          <w:rFonts w:ascii="Times New Roman" w:hAnsi="Times New Roman"/>
          <w:b/>
          <w:bCs/>
          <w:sz w:val="20"/>
          <w:szCs w:val="20"/>
        </w:rPr>
        <w:t xml:space="preserve"> stop serving time</w:t>
      </w:r>
      <w:r w:rsidR="00F9118D">
        <w:rPr>
          <w:rFonts w:ascii="Times New Roman" w:hAnsi="Times New Roman"/>
          <w:b/>
          <w:bCs/>
          <w:sz w:val="20"/>
          <w:szCs w:val="20"/>
        </w:rPr>
        <w:t>.</w:t>
      </w:r>
    </w:p>
    <w:p w14:paraId="787B9EDB" w14:textId="4AD8CF7A" w:rsidR="003601EB" w:rsidRDefault="00F9118D" w:rsidP="00994170">
      <w:pPr>
        <w:rPr>
          <w:rFonts w:ascii="Times New Roman" w:hAnsi="Times New Roman"/>
          <w:sz w:val="20"/>
          <w:szCs w:val="20"/>
        </w:rPr>
      </w:pPr>
      <w:r>
        <w:rPr>
          <w:rFonts w:ascii="Times New Roman" w:hAnsi="Times New Roman"/>
          <w:sz w:val="20"/>
          <w:szCs w:val="20"/>
        </w:rPr>
        <w:t>Meanwhile, t</w:t>
      </w:r>
      <w:r w:rsidR="00EF1C3D">
        <w:rPr>
          <w:rFonts w:ascii="Times New Roman" w:hAnsi="Times New Roman"/>
          <w:sz w:val="20"/>
          <w:szCs w:val="20"/>
        </w:rPr>
        <w:t xml:space="preserve">he distance-based trigger was also FFS in the latest RAN2#119 meeting. </w:t>
      </w:r>
      <w:r w:rsidR="003601EB">
        <w:rPr>
          <w:rFonts w:ascii="Times New Roman" w:hAnsi="Times New Roman"/>
          <w:sz w:val="20"/>
          <w:szCs w:val="20"/>
        </w:rPr>
        <w:t>Our understanding is that, for both quasi-Earth-fixed and Earth-moving cells, if eNB is aware of UE location information, it may directly indicate UE to initiate the measurement. Otherwise distance-based trigger could be considered and somehow could reuse what has been agreed for NR NTN neighbour cell measurement triggering in IDLE/INACTIVE. Meanwhile, distance-based trigger could be a bit more complicated for Earth-moving cells, as the cell reference location moves alongside with the satellite.</w:t>
      </w:r>
    </w:p>
    <w:p w14:paraId="4AEA75FA" w14:textId="593CC5EC" w:rsidR="003601EB" w:rsidRPr="005B1447" w:rsidRDefault="003601EB" w:rsidP="003601EB">
      <w:pPr>
        <w:rPr>
          <w:rFonts w:ascii="Times New Roman" w:hAnsi="Times New Roman"/>
          <w:b/>
          <w:bCs/>
          <w:sz w:val="20"/>
          <w:szCs w:val="20"/>
        </w:rPr>
      </w:pPr>
      <w:r w:rsidRPr="005B1447">
        <w:rPr>
          <w:rFonts w:ascii="Times New Roman" w:hAnsi="Times New Roman"/>
          <w:b/>
          <w:bCs/>
          <w:sz w:val="20"/>
          <w:szCs w:val="20"/>
        </w:rPr>
        <w:t xml:space="preserve">Observation </w:t>
      </w:r>
      <w:r w:rsidR="00F9118D">
        <w:rPr>
          <w:rFonts w:ascii="Times New Roman" w:hAnsi="Times New Roman"/>
          <w:b/>
          <w:bCs/>
          <w:sz w:val="20"/>
          <w:szCs w:val="20"/>
        </w:rPr>
        <w:t>2</w:t>
      </w:r>
      <w:r w:rsidRPr="005B1447">
        <w:rPr>
          <w:rFonts w:ascii="Times New Roman" w:hAnsi="Times New Roman"/>
          <w:b/>
          <w:bCs/>
          <w:sz w:val="20"/>
          <w:szCs w:val="20"/>
        </w:rPr>
        <w:t xml:space="preserve">: </w:t>
      </w:r>
      <w:r>
        <w:rPr>
          <w:rFonts w:ascii="Times New Roman" w:hAnsi="Times New Roman"/>
          <w:b/>
          <w:bCs/>
          <w:sz w:val="20"/>
          <w:szCs w:val="20"/>
        </w:rPr>
        <w:t>F</w:t>
      </w:r>
      <w:r w:rsidRPr="005B1447">
        <w:rPr>
          <w:rFonts w:ascii="Times New Roman" w:hAnsi="Times New Roman"/>
          <w:b/>
          <w:bCs/>
          <w:sz w:val="20"/>
          <w:szCs w:val="20"/>
        </w:rPr>
        <w:t xml:space="preserve">or Earth-moving cells, </w:t>
      </w:r>
      <w:r>
        <w:rPr>
          <w:rFonts w:ascii="Times New Roman" w:hAnsi="Times New Roman"/>
          <w:b/>
          <w:bCs/>
          <w:sz w:val="20"/>
          <w:szCs w:val="20"/>
        </w:rPr>
        <w:t>distance</w:t>
      </w:r>
      <w:r w:rsidRPr="005B1447">
        <w:rPr>
          <w:rFonts w:ascii="Times New Roman" w:hAnsi="Times New Roman"/>
          <w:b/>
          <w:bCs/>
          <w:sz w:val="20"/>
          <w:szCs w:val="20"/>
        </w:rPr>
        <w:t xml:space="preserve">-based trigger may not be simply implemented </w:t>
      </w:r>
      <w:r>
        <w:rPr>
          <w:rFonts w:ascii="Times New Roman" w:hAnsi="Times New Roman"/>
          <w:b/>
          <w:bCs/>
          <w:sz w:val="20"/>
          <w:szCs w:val="20"/>
        </w:rPr>
        <w:t>due to cell movement</w:t>
      </w:r>
      <w:r w:rsidRPr="005B1447">
        <w:rPr>
          <w:rFonts w:ascii="Times New Roman" w:hAnsi="Times New Roman"/>
          <w:b/>
          <w:bCs/>
          <w:sz w:val="20"/>
          <w:szCs w:val="20"/>
        </w:rPr>
        <w:t>.</w:t>
      </w:r>
    </w:p>
    <w:p w14:paraId="0630C571" w14:textId="4F87A79B" w:rsidR="00DE0459" w:rsidRPr="00954892" w:rsidRDefault="00DE0459" w:rsidP="00DE0459">
      <w:pPr>
        <w:rPr>
          <w:rFonts w:ascii="Times New Roman" w:hAnsi="Times New Roman"/>
          <w:sz w:val="20"/>
          <w:szCs w:val="20"/>
        </w:rPr>
      </w:pPr>
      <w:r>
        <w:rPr>
          <w:rFonts w:ascii="Times New Roman" w:hAnsi="Times New Roman"/>
          <w:sz w:val="20"/>
          <w:szCs w:val="20"/>
        </w:rPr>
        <w:lastRenderedPageBreak/>
        <w:t>For the indication of reference location in Earth-moving cells, t</w:t>
      </w:r>
      <w:r w:rsidRPr="00954892">
        <w:rPr>
          <w:rFonts w:ascii="Times New Roman" w:hAnsi="Times New Roman"/>
          <w:sz w:val="20"/>
          <w:szCs w:val="20"/>
        </w:rPr>
        <w:t>he following options can be considered:</w:t>
      </w:r>
    </w:p>
    <w:p w14:paraId="1813224C" w14:textId="77777777" w:rsidR="00DE0459" w:rsidRPr="00954892" w:rsidRDefault="00DE0459" w:rsidP="00DE0459">
      <w:pPr>
        <w:pStyle w:val="a6"/>
        <w:numPr>
          <w:ilvl w:val="0"/>
          <w:numId w:val="50"/>
        </w:numPr>
        <w:spacing w:after="0"/>
        <w:ind w:firstLineChars="0"/>
      </w:pPr>
      <w:r w:rsidRPr="00954892">
        <w:t xml:space="preserve">Option </w:t>
      </w:r>
      <w:r>
        <w:t>1</w:t>
      </w:r>
      <w:r w:rsidRPr="00954892">
        <w:t>: Multiple reference locations. Each reference location could be associated to a time duration, an area or elevation angle. And UE could apply one reference location based on the current time, its area or elevation angle.</w:t>
      </w:r>
    </w:p>
    <w:p w14:paraId="31177176" w14:textId="77777777" w:rsidR="00DE0459" w:rsidRPr="00954892" w:rsidRDefault="00DE0459" w:rsidP="00DE0459">
      <w:pPr>
        <w:pStyle w:val="a6"/>
        <w:numPr>
          <w:ilvl w:val="0"/>
          <w:numId w:val="50"/>
        </w:numPr>
        <w:spacing w:after="0"/>
        <w:ind w:firstLineChars="0"/>
      </w:pPr>
      <w:r w:rsidRPr="00954892">
        <w:t xml:space="preserve">Option </w:t>
      </w:r>
      <w:r>
        <w:t>2</w:t>
      </w:r>
      <w:r w:rsidRPr="00954892">
        <w:t xml:space="preserve">: Multiple offsets to </w:t>
      </w:r>
      <w:r w:rsidRPr="00954892">
        <w:rPr>
          <w:i/>
          <w:iCs/>
        </w:rPr>
        <w:t>referenceLocation</w:t>
      </w:r>
      <w:r w:rsidRPr="00954892">
        <w:t>. Each offset could be associated to a time duration, an area or elevation angle. And UE could apply one offset based on the current time, its area or elevation angle.</w:t>
      </w:r>
    </w:p>
    <w:p w14:paraId="6B688A04" w14:textId="77777777" w:rsidR="00DE0459" w:rsidRPr="00954892" w:rsidRDefault="00DE0459" w:rsidP="00DE0459">
      <w:pPr>
        <w:pStyle w:val="a6"/>
        <w:numPr>
          <w:ilvl w:val="0"/>
          <w:numId w:val="50"/>
        </w:numPr>
        <w:spacing w:after="0"/>
        <w:ind w:firstLineChars="0"/>
      </w:pPr>
      <w:r w:rsidRPr="00954892">
        <w:t xml:space="preserve">Option </w:t>
      </w:r>
      <w:r>
        <w:t>3</w:t>
      </w:r>
      <w:r w:rsidRPr="00954892">
        <w:t>: UE estimates real-time reference location based on ephemeris. Network could indicate UE that the reference location is varying and thus needs to be estimated.</w:t>
      </w:r>
    </w:p>
    <w:p w14:paraId="2483A69A" w14:textId="77777777" w:rsidR="00DE0459" w:rsidRPr="00954892" w:rsidRDefault="00DE0459" w:rsidP="00DE0459">
      <w:pPr>
        <w:pStyle w:val="a6"/>
        <w:numPr>
          <w:ilvl w:val="0"/>
          <w:numId w:val="50"/>
        </w:numPr>
        <w:spacing w:after="0"/>
        <w:ind w:firstLineChars="0"/>
      </w:pPr>
      <w:r w:rsidRPr="00954892">
        <w:t xml:space="preserve">Option </w:t>
      </w:r>
      <w:r>
        <w:t>4</w:t>
      </w:r>
      <w:r w:rsidRPr="00954892">
        <w:t xml:space="preserve">: Additional change information, e.g., drift or velocity vector of </w:t>
      </w:r>
      <w:r w:rsidRPr="00954892">
        <w:rPr>
          <w:i/>
          <w:iCs/>
        </w:rPr>
        <w:t>referenceLocation</w:t>
      </w:r>
      <w:r w:rsidRPr="00954892">
        <w:t xml:space="preserve">. UE estimates real-time reference location based on </w:t>
      </w:r>
      <w:r w:rsidRPr="00954892">
        <w:rPr>
          <w:lang w:eastAsia="zh-CN"/>
        </w:rPr>
        <w:t>the</w:t>
      </w:r>
      <w:r w:rsidRPr="00954892">
        <w:t xml:space="preserve"> change information</w:t>
      </w:r>
      <w:r>
        <w:rPr>
          <w:rFonts w:hint="eastAsia"/>
          <w:lang w:eastAsia="zh-CN"/>
        </w:rPr>
        <w:t>.</w:t>
      </w:r>
    </w:p>
    <w:p w14:paraId="699B3231" w14:textId="77777777" w:rsidR="00DE0459" w:rsidRPr="00954892" w:rsidRDefault="00DE0459" w:rsidP="00DE0459">
      <w:pPr>
        <w:pStyle w:val="a6"/>
        <w:numPr>
          <w:ilvl w:val="0"/>
          <w:numId w:val="50"/>
        </w:numPr>
        <w:spacing w:after="0"/>
        <w:ind w:firstLineChars="0"/>
        <w:rPr>
          <w:lang w:val="en-US"/>
        </w:rPr>
      </w:pPr>
      <w:r w:rsidRPr="00954892">
        <w:t xml:space="preserve">Option </w:t>
      </w:r>
      <w:r>
        <w:t>5</w:t>
      </w:r>
      <w:r w:rsidRPr="00954892">
        <w:t xml:space="preserve">: Set the </w:t>
      </w:r>
      <w:r w:rsidRPr="00954892">
        <w:rPr>
          <w:i/>
          <w:iCs/>
        </w:rPr>
        <w:t>referenceLocation</w:t>
      </w:r>
      <w:r w:rsidRPr="00954892">
        <w:t xml:space="preserve"> to the position of the satellite, so that UE-satellite distance is used for evaluation instead, which can be derived directly from UE-specific TA.</w:t>
      </w:r>
    </w:p>
    <w:p w14:paraId="24FA2604" w14:textId="042398C6"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sidR="00DE0459">
        <w:rPr>
          <w:rFonts w:ascii="Times New Roman" w:hAnsi="Times New Roman"/>
          <w:b/>
          <w:bCs/>
          <w:sz w:val="20"/>
          <w:szCs w:val="20"/>
        </w:rPr>
        <w:t>2</w:t>
      </w:r>
      <w:r w:rsidRPr="00EF1C3D">
        <w:rPr>
          <w:rFonts w:ascii="Times New Roman" w:hAnsi="Times New Roman"/>
          <w:b/>
          <w:bCs/>
          <w:sz w:val="20"/>
          <w:szCs w:val="20"/>
        </w:rPr>
        <w:t>:</w:t>
      </w:r>
      <w:r>
        <w:rPr>
          <w:rFonts w:ascii="Times New Roman" w:hAnsi="Times New Roman"/>
          <w:b/>
          <w:bCs/>
          <w:sz w:val="20"/>
          <w:szCs w:val="20"/>
        </w:rPr>
        <w:t xml:space="preserve"> If</w:t>
      </w:r>
      <w:r w:rsidRPr="00EF1C3D">
        <w:rPr>
          <w:rFonts w:ascii="Times New Roman" w:hAnsi="Times New Roman"/>
          <w:b/>
          <w:bCs/>
          <w:sz w:val="20"/>
          <w:szCs w:val="20"/>
        </w:rPr>
        <w:t xml:space="preserve"> </w:t>
      </w:r>
      <w:r>
        <w:rPr>
          <w:rFonts w:ascii="Times New Roman" w:hAnsi="Times New Roman"/>
          <w:b/>
          <w:bCs/>
          <w:sz w:val="20"/>
          <w:szCs w:val="20"/>
        </w:rPr>
        <w:t>distance</w:t>
      </w:r>
      <w:r w:rsidRPr="00EF1C3D">
        <w:rPr>
          <w:rFonts w:ascii="Times New Roman" w:hAnsi="Times New Roman"/>
          <w:b/>
          <w:bCs/>
          <w:sz w:val="20"/>
          <w:szCs w:val="20"/>
        </w:rPr>
        <w:t>-based trigger</w:t>
      </w:r>
      <w:r>
        <w:rPr>
          <w:rFonts w:ascii="Times New Roman" w:hAnsi="Times New Roman"/>
          <w:b/>
          <w:bCs/>
          <w:sz w:val="20"/>
          <w:szCs w:val="20"/>
        </w:rPr>
        <w:t xml:space="preserve"> is agreed, </w:t>
      </w:r>
      <w:r w:rsidRPr="00EF1C3D">
        <w:rPr>
          <w:rFonts w:ascii="Times New Roman" w:hAnsi="Times New Roman"/>
          <w:b/>
          <w:bCs/>
          <w:sz w:val="20"/>
          <w:szCs w:val="20"/>
        </w:rPr>
        <w:t xml:space="preserve">RAN2 to discuss </w:t>
      </w:r>
      <w:r>
        <w:rPr>
          <w:rFonts w:ascii="Times New Roman" w:hAnsi="Times New Roman"/>
          <w:b/>
          <w:bCs/>
          <w:sz w:val="20"/>
          <w:szCs w:val="20"/>
        </w:rPr>
        <w:t>how to</w:t>
      </w:r>
      <w:r w:rsidRPr="003601EB">
        <w:rPr>
          <w:rFonts w:ascii="Times New Roman" w:hAnsi="Times New Roman"/>
          <w:b/>
          <w:bCs/>
          <w:sz w:val="20"/>
          <w:szCs w:val="20"/>
        </w:rPr>
        <w:t xml:space="preserve"> </w:t>
      </w:r>
      <w:r>
        <w:rPr>
          <w:rFonts w:ascii="Times New Roman" w:hAnsi="Times New Roman"/>
          <w:b/>
          <w:bCs/>
          <w:sz w:val="20"/>
          <w:szCs w:val="20"/>
        </w:rPr>
        <w:t xml:space="preserve">efficiently indicate the cell reference location of an </w:t>
      </w:r>
      <w:r w:rsidRPr="00EF1C3D">
        <w:rPr>
          <w:rFonts w:ascii="Times New Roman" w:hAnsi="Times New Roman"/>
          <w:b/>
          <w:bCs/>
          <w:sz w:val="20"/>
          <w:szCs w:val="20"/>
        </w:rPr>
        <w:t>Earth-moving</w:t>
      </w:r>
      <w:r>
        <w:rPr>
          <w:rFonts w:ascii="Times New Roman" w:hAnsi="Times New Roman"/>
          <w:b/>
          <w:bCs/>
          <w:sz w:val="20"/>
          <w:szCs w:val="20"/>
        </w:rPr>
        <w:t xml:space="preserve"> cell to the UE</w:t>
      </w:r>
      <w:r w:rsidRPr="00EF1C3D">
        <w:rPr>
          <w:rFonts w:ascii="Times New Roman" w:hAnsi="Times New Roman"/>
          <w:b/>
          <w:bCs/>
          <w:sz w:val="20"/>
          <w:szCs w:val="20"/>
        </w:rPr>
        <w:t>.</w:t>
      </w:r>
    </w:p>
    <w:p w14:paraId="4690CDBC" w14:textId="38CB9FA1" w:rsidR="00994170" w:rsidRDefault="00994170" w:rsidP="00994170">
      <w:pPr>
        <w:rPr>
          <w:rFonts w:ascii="Times New Roman" w:hAnsi="Times New Roman"/>
          <w:sz w:val="20"/>
          <w:szCs w:val="20"/>
        </w:rPr>
      </w:pPr>
      <w:r w:rsidRPr="00BB0384">
        <w:rPr>
          <w:rFonts w:ascii="Times New Roman" w:hAnsi="Times New Roman" w:hint="eastAsia"/>
          <w:sz w:val="20"/>
          <w:szCs w:val="20"/>
        </w:rPr>
        <w:t>A</w:t>
      </w:r>
      <w:r w:rsidRPr="00BB0384">
        <w:rPr>
          <w:rFonts w:ascii="Times New Roman" w:hAnsi="Times New Roman"/>
          <w:sz w:val="20"/>
          <w:szCs w:val="20"/>
        </w:rPr>
        <w:t xml:space="preserve">dditionally, </w:t>
      </w:r>
      <w:r>
        <w:rPr>
          <w:rFonts w:ascii="Times New Roman" w:hAnsi="Times New Roman"/>
          <w:sz w:val="20"/>
          <w:szCs w:val="20"/>
        </w:rPr>
        <w:t>in case of</w:t>
      </w:r>
      <w:r w:rsidRPr="00BB0384">
        <w:rPr>
          <w:rFonts w:ascii="Times New Roman" w:hAnsi="Times New Roman"/>
          <w:sz w:val="20"/>
          <w:szCs w:val="20"/>
        </w:rPr>
        <w:t xml:space="preserve"> discontinuous coverage where UE can remain long periods of time without being able to detect a satellite cell, there could be no neighbour cell available for a UE to be measured but the measurement could still be triggered.</w:t>
      </w:r>
    </w:p>
    <w:p w14:paraId="7CC9DD6D" w14:textId="09251937" w:rsidR="00994170" w:rsidRPr="00994170" w:rsidRDefault="00994170"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w:t>
      </w:r>
      <w:r w:rsidR="00F9118D">
        <w:rPr>
          <w:rFonts w:ascii="Times New Roman" w:hAnsi="Times New Roman"/>
          <w:b/>
          <w:bCs/>
          <w:sz w:val="20"/>
          <w:szCs w:val="20"/>
        </w:rPr>
        <w:t>3</w:t>
      </w:r>
      <w:r w:rsidRPr="00BB0384">
        <w:rPr>
          <w:rFonts w:ascii="Times New Roman" w:hAnsi="Times New Roman"/>
          <w:b/>
          <w:bCs/>
          <w:sz w:val="20"/>
          <w:szCs w:val="20"/>
        </w:rPr>
        <w:t>: In discontinuous coverage scenario wherein no neighbour cell is available to be measured, unnecessary CONNECTED mode neighbour cell measurement could be triggered.</w:t>
      </w:r>
    </w:p>
    <w:p w14:paraId="0EBFED48" w14:textId="06F4EA36" w:rsidR="000E18AA" w:rsidRDefault="000E18AA" w:rsidP="0016517F">
      <w:pPr>
        <w:rPr>
          <w:rFonts w:ascii="Times New Roman" w:hAnsi="Times New Roman"/>
          <w:sz w:val="20"/>
          <w:szCs w:val="20"/>
        </w:rPr>
      </w:pPr>
      <w:r>
        <w:rPr>
          <w:rFonts w:ascii="Times New Roman" w:hAnsi="Times New Roman"/>
          <w:sz w:val="20"/>
          <w:szCs w:val="20"/>
        </w:rPr>
        <w:t>For NTN deployment with discontinuous coverage, additional rules can be considered to disable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when it is unnecessary to further reduce its power consumption.</w:t>
      </w:r>
    </w:p>
    <w:p w14:paraId="2C9FD3AA" w14:textId="307ADCD6" w:rsidR="000E18AA" w:rsidRPr="000E18AA" w:rsidRDefault="000E18AA" w:rsidP="0016517F">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sidR="00DE0459">
        <w:rPr>
          <w:rFonts w:ascii="Times New Roman" w:hAnsi="Times New Roman"/>
          <w:b/>
          <w:bCs/>
          <w:sz w:val="20"/>
          <w:szCs w:val="20"/>
        </w:rPr>
        <w:t>3</w:t>
      </w:r>
      <w:r w:rsidR="00F9118D">
        <w:rPr>
          <w:rFonts w:ascii="Times New Roman" w:hAnsi="Times New Roman"/>
          <w:b/>
          <w:bCs/>
          <w:sz w:val="20"/>
          <w:szCs w:val="20"/>
        </w:rPr>
        <w:t>:</w:t>
      </w:r>
      <w:r w:rsidRPr="000E18AA">
        <w:rPr>
          <w:rFonts w:ascii="Times New Roman" w:hAnsi="Times New Roman"/>
          <w:b/>
          <w:bCs/>
          <w:sz w:val="20"/>
          <w:szCs w:val="20"/>
        </w:rPr>
        <w:t xml:space="preserve">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253FAC1A" w:rsidR="00A90536" w:rsidRDefault="00A90536" w:rsidP="003601EB">
      <w:pPr>
        <w:rPr>
          <w:rFonts w:ascii="Times New Roman" w:hAnsi="Times New Roman"/>
          <w:sz w:val="20"/>
          <w:szCs w:val="20"/>
        </w:rPr>
      </w:pPr>
      <w:r w:rsidRPr="00EB5C86">
        <w:rPr>
          <w:rFonts w:ascii="Times New Roman" w:hAnsi="Times New Roman"/>
          <w:sz w:val="20"/>
          <w:szCs w:val="20"/>
        </w:rPr>
        <w:t xml:space="preserve">In this contribution, </w:t>
      </w:r>
      <w:r w:rsidR="000E18AA" w:rsidRPr="000E18AA">
        <w:rPr>
          <w:rFonts w:ascii="Times New Roman" w:hAnsi="Times New Roman"/>
          <w:sz w:val="20"/>
          <w:szCs w:val="20"/>
        </w:rPr>
        <w:t xml:space="preserve">we </w:t>
      </w:r>
      <w:r w:rsidR="003601EB">
        <w:rPr>
          <w:rFonts w:ascii="Times New Roman" w:hAnsi="Times New Roman"/>
          <w:sz w:val="20"/>
          <w:szCs w:val="20"/>
        </w:rPr>
        <w:t>discuss time/distance-based trigger</w:t>
      </w:r>
      <w:r w:rsidR="000E18AA" w:rsidRPr="000E18AA">
        <w:rPr>
          <w:rFonts w:ascii="Times New Roman" w:hAnsi="Times New Roman"/>
          <w:sz w:val="20"/>
          <w:szCs w:val="20"/>
        </w:rPr>
        <w:t xml:space="preserve"> </w:t>
      </w:r>
      <w:r w:rsidR="001B3CA9">
        <w:rPr>
          <w:rFonts w:ascii="Times New Roman" w:hAnsi="Times New Roman"/>
          <w:sz w:val="20"/>
          <w:szCs w:val="20"/>
        </w:rPr>
        <w:t xml:space="preserve">for </w:t>
      </w:r>
      <w:r w:rsidR="001B3CA9" w:rsidRPr="009B4F09">
        <w:rPr>
          <w:rFonts w:ascii="Times New Roman" w:hAnsi="Times New Roman"/>
          <w:sz w:val="20"/>
          <w:szCs w:val="20"/>
        </w:rPr>
        <w:t>NB-IoT</w:t>
      </w:r>
      <w:r w:rsidR="001B3CA9">
        <w:rPr>
          <w:rFonts w:ascii="Times New Roman" w:hAnsi="Times New Roman"/>
          <w:sz w:val="20"/>
          <w:szCs w:val="20"/>
        </w:rPr>
        <w:t xml:space="preserve"> CONNECTED mode </w:t>
      </w:r>
      <w:r w:rsidR="001B3CA9" w:rsidRPr="009B4F09">
        <w:rPr>
          <w:rFonts w:ascii="Times New Roman" w:hAnsi="Times New Roman"/>
          <w:sz w:val="20"/>
          <w:szCs w:val="20"/>
        </w:rPr>
        <w:t>neighbour cell measurement</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08BB5672" w14:textId="77777777" w:rsidR="001B3CA9" w:rsidRPr="005B1447" w:rsidRDefault="001B3CA9" w:rsidP="001B3CA9">
      <w:pPr>
        <w:rPr>
          <w:rFonts w:ascii="Times New Roman" w:hAnsi="Times New Roman"/>
          <w:b/>
          <w:bCs/>
          <w:sz w:val="20"/>
          <w:szCs w:val="20"/>
        </w:rPr>
      </w:pPr>
      <w:r w:rsidRPr="005B1447">
        <w:rPr>
          <w:rFonts w:ascii="Times New Roman" w:hAnsi="Times New Roman"/>
          <w:b/>
          <w:bCs/>
          <w:sz w:val="20"/>
          <w:szCs w:val="20"/>
        </w:rPr>
        <w:t xml:space="preserve">Observation </w:t>
      </w:r>
      <w:r>
        <w:rPr>
          <w:rFonts w:ascii="Times New Roman" w:hAnsi="Times New Roman"/>
          <w:b/>
          <w:bCs/>
          <w:sz w:val="20"/>
          <w:szCs w:val="20"/>
        </w:rPr>
        <w:t>1</w:t>
      </w:r>
      <w:r w:rsidRPr="005B1447">
        <w:rPr>
          <w:rFonts w:ascii="Times New Roman" w:hAnsi="Times New Roman"/>
          <w:b/>
          <w:bCs/>
          <w:sz w:val="20"/>
          <w:szCs w:val="20"/>
        </w:rPr>
        <w:t>: At least for Earth-moving cells, time-based trigger may not be simply implemented by eNB indication and further assistance information could be necessary.</w:t>
      </w:r>
    </w:p>
    <w:p w14:paraId="15EFF6DC" w14:textId="77777777" w:rsidR="001B3CA9" w:rsidRPr="005B1447" w:rsidRDefault="001B3CA9" w:rsidP="001B3CA9">
      <w:pPr>
        <w:rPr>
          <w:rFonts w:ascii="Times New Roman" w:hAnsi="Times New Roman"/>
          <w:b/>
          <w:bCs/>
          <w:sz w:val="20"/>
          <w:szCs w:val="20"/>
        </w:rPr>
      </w:pPr>
      <w:r w:rsidRPr="005B1447">
        <w:rPr>
          <w:rFonts w:ascii="Times New Roman" w:hAnsi="Times New Roman"/>
          <w:b/>
          <w:bCs/>
          <w:sz w:val="20"/>
          <w:szCs w:val="20"/>
        </w:rPr>
        <w:t xml:space="preserve">Observation </w:t>
      </w:r>
      <w:r>
        <w:rPr>
          <w:rFonts w:ascii="Times New Roman" w:hAnsi="Times New Roman"/>
          <w:b/>
          <w:bCs/>
          <w:sz w:val="20"/>
          <w:szCs w:val="20"/>
        </w:rPr>
        <w:t>2</w:t>
      </w:r>
      <w:r w:rsidRPr="005B1447">
        <w:rPr>
          <w:rFonts w:ascii="Times New Roman" w:hAnsi="Times New Roman"/>
          <w:b/>
          <w:bCs/>
          <w:sz w:val="20"/>
          <w:szCs w:val="20"/>
        </w:rPr>
        <w:t xml:space="preserve">: </w:t>
      </w:r>
      <w:r>
        <w:rPr>
          <w:rFonts w:ascii="Times New Roman" w:hAnsi="Times New Roman"/>
          <w:b/>
          <w:bCs/>
          <w:sz w:val="20"/>
          <w:szCs w:val="20"/>
        </w:rPr>
        <w:t>F</w:t>
      </w:r>
      <w:r w:rsidRPr="005B1447">
        <w:rPr>
          <w:rFonts w:ascii="Times New Roman" w:hAnsi="Times New Roman"/>
          <w:b/>
          <w:bCs/>
          <w:sz w:val="20"/>
          <w:szCs w:val="20"/>
        </w:rPr>
        <w:t xml:space="preserve">or Earth-moving cells, </w:t>
      </w:r>
      <w:r>
        <w:rPr>
          <w:rFonts w:ascii="Times New Roman" w:hAnsi="Times New Roman"/>
          <w:b/>
          <w:bCs/>
          <w:sz w:val="20"/>
          <w:szCs w:val="20"/>
        </w:rPr>
        <w:t>distance</w:t>
      </w:r>
      <w:r w:rsidRPr="005B1447">
        <w:rPr>
          <w:rFonts w:ascii="Times New Roman" w:hAnsi="Times New Roman"/>
          <w:b/>
          <w:bCs/>
          <w:sz w:val="20"/>
          <w:szCs w:val="20"/>
        </w:rPr>
        <w:t xml:space="preserve">-based trigger may not be simply implemented </w:t>
      </w:r>
      <w:r>
        <w:rPr>
          <w:rFonts w:ascii="Times New Roman" w:hAnsi="Times New Roman"/>
          <w:b/>
          <w:bCs/>
          <w:sz w:val="20"/>
          <w:szCs w:val="20"/>
        </w:rPr>
        <w:t>due to cell movement</w:t>
      </w:r>
      <w:r w:rsidRPr="005B1447">
        <w:rPr>
          <w:rFonts w:ascii="Times New Roman" w:hAnsi="Times New Roman"/>
          <w:b/>
          <w:bCs/>
          <w:sz w:val="20"/>
          <w:szCs w:val="20"/>
        </w:rPr>
        <w:t>.</w:t>
      </w:r>
    </w:p>
    <w:p w14:paraId="31DE062D" w14:textId="77777777" w:rsidR="001B3CA9" w:rsidRPr="00994170" w:rsidRDefault="001B3CA9" w:rsidP="001B3CA9">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w:t>
      </w:r>
      <w:r>
        <w:rPr>
          <w:rFonts w:ascii="Times New Roman" w:hAnsi="Times New Roman"/>
          <w:b/>
          <w:bCs/>
          <w:sz w:val="20"/>
          <w:szCs w:val="20"/>
        </w:rPr>
        <w:t>3</w:t>
      </w:r>
      <w:r w:rsidRPr="00BB0384">
        <w:rPr>
          <w:rFonts w:ascii="Times New Roman" w:hAnsi="Times New Roman"/>
          <w:b/>
          <w:bCs/>
          <w:sz w:val="20"/>
          <w:szCs w:val="20"/>
        </w:rPr>
        <w:t>: In discontinuous coverage scenario wherein no neighbour cell is available to be measured, unnecessary CONNECTED mode neighbour cell measurement could be triggered.</w:t>
      </w:r>
    </w:p>
    <w:p w14:paraId="5FC8578B" w14:textId="75444A46" w:rsidR="000E18AA" w:rsidRDefault="000E18AA" w:rsidP="003601EB">
      <w:pPr>
        <w:rPr>
          <w:rFonts w:ascii="Times New Roman" w:hAnsi="Times New Roman"/>
          <w:sz w:val="20"/>
          <w:szCs w:val="20"/>
        </w:rPr>
      </w:pPr>
      <w:r>
        <w:rPr>
          <w:rFonts w:ascii="Times New Roman" w:hAnsi="Times New Roman"/>
          <w:sz w:val="20"/>
          <w:szCs w:val="20"/>
        </w:rPr>
        <w:t>And we propose:</w:t>
      </w:r>
    </w:p>
    <w:p w14:paraId="636E40F3" w14:textId="77777777" w:rsidR="001B3CA9" w:rsidRPr="00EF1C3D" w:rsidRDefault="001B3CA9" w:rsidP="001B3CA9">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1</w:t>
      </w:r>
      <w:r w:rsidRPr="00EF1C3D">
        <w:rPr>
          <w:rFonts w:ascii="Times New Roman" w:hAnsi="Times New Roman"/>
          <w:b/>
          <w:bCs/>
          <w:sz w:val="20"/>
          <w:szCs w:val="20"/>
        </w:rPr>
        <w:t xml:space="preserve">: For time-based trigger in Earth-moving cells, RAN2 to discuss </w:t>
      </w:r>
      <w:r>
        <w:rPr>
          <w:rFonts w:ascii="Times New Roman" w:hAnsi="Times New Roman"/>
          <w:b/>
          <w:bCs/>
          <w:sz w:val="20"/>
          <w:szCs w:val="20"/>
        </w:rPr>
        <w:t>what</w:t>
      </w:r>
      <w:r w:rsidRPr="00EF1C3D">
        <w:rPr>
          <w:rFonts w:ascii="Times New Roman" w:hAnsi="Times New Roman"/>
          <w:b/>
          <w:bCs/>
          <w:sz w:val="20"/>
          <w:szCs w:val="20"/>
        </w:rPr>
        <w:t xml:space="preserve"> assistance information </w:t>
      </w:r>
      <w:r>
        <w:rPr>
          <w:rFonts w:ascii="Times New Roman" w:hAnsi="Times New Roman"/>
          <w:b/>
          <w:bCs/>
          <w:sz w:val="20"/>
          <w:szCs w:val="20"/>
        </w:rPr>
        <w:t xml:space="preserve">shall </w:t>
      </w:r>
      <w:r w:rsidRPr="00EF1C3D">
        <w:rPr>
          <w:rFonts w:ascii="Times New Roman" w:hAnsi="Times New Roman"/>
          <w:b/>
          <w:bCs/>
          <w:sz w:val="20"/>
          <w:szCs w:val="20"/>
        </w:rPr>
        <w:t xml:space="preserve">eNB provide to help UE determine </w:t>
      </w:r>
      <w:r>
        <w:rPr>
          <w:rFonts w:ascii="Times New Roman" w:hAnsi="Times New Roman"/>
          <w:b/>
          <w:bCs/>
          <w:sz w:val="20"/>
          <w:szCs w:val="20"/>
        </w:rPr>
        <w:t>the</w:t>
      </w:r>
      <w:r w:rsidRPr="00EF1C3D">
        <w:rPr>
          <w:rFonts w:ascii="Times New Roman" w:hAnsi="Times New Roman"/>
          <w:b/>
          <w:bCs/>
          <w:sz w:val="20"/>
          <w:szCs w:val="20"/>
        </w:rPr>
        <w:t xml:space="preserve"> stop serving time</w:t>
      </w:r>
      <w:r>
        <w:rPr>
          <w:rFonts w:ascii="Times New Roman" w:hAnsi="Times New Roman"/>
          <w:b/>
          <w:bCs/>
          <w:sz w:val="20"/>
          <w:szCs w:val="20"/>
        </w:rPr>
        <w:t>.</w:t>
      </w:r>
    </w:p>
    <w:p w14:paraId="17BE8E4F" w14:textId="77777777" w:rsidR="001B3CA9" w:rsidRPr="00EF1C3D" w:rsidRDefault="001B3CA9" w:rsidP="001B3CA9">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2</w:t>
      </w:r>
      <w:r w:rsidRPr="00EF1C3D">
        <w:rPr>
          <w:rFonts w:ascii="Times New Roman" w:hAnsi="Times New Roman"/>
          <w:b/>
          <w:bCs/>
          <w:sz w:val="20"/>
          <w:szCs w:val="20"/>
        </w:rPr>
        <w:t>:</w:t>
      </w:r>
      <w:r>
        <w:rPr>
          <w:rFonts w:ascii="Times New Roman" w:hAnsi="Times New Roman"/>
          <w:b/>
          <w:bCs/>
          <w:sz w:val="20"/>
          <w:szCs w:val="20"/>
        </w:rPr>
        <w:t xml:space="preserve"> If</w:t>
      </w:r>
      <w:r w:rsidRPr="00EF1C3D">
        <w:rPr>
          <w:rFonts w:ascii="Times New Roman" w:hAnsi="Times New Roman"/>
          <w:b/>
          <w:bCs/>
          <w:sz w:val="20"/>
          <w:szCs w:val="20"/>
        </w:rPr>
        <w:t xml:space="preserve"> </w:t>
      </w:r>
      <w:r>
        <w:rPr>
          <w:rFonts w:ascii="Times New Roman" w:hAnsi="Times New Roman"/>
          <w:b/>
          <w:bCs/>
          <w:sz w:val="20"/>
          <w:szCs w:val="20"/>
        </w:rPr>
        <w:t>distance</w:t>
      </w:r>
      <w:r w:rsidRPr="00EF1C3D">
        <w:rPr>
          <w:rFonts w:ascii="Times New Roman" w:hAnsi="Times New Roman"/>
          <w:b/>
          <w:bCs/>
          <w:sz w:val="20"/>
          <w:szCs w:val="20"/>
        </w:rPr>
        <w:t>-based trigger</w:t>
      </w:r>
      <w:r>
        <w:rPr>
          <w:rFonts w:ascii="Times New Roman" w:hAnsi="Times New Roman"/>
          <w:b/>
          <w:bCs/>
          <w:sz w:val="20"/>
          <w:szCs w:val="20"/>
        </w:rPr>
        <w:t xml:space="preserve"> is agreed, </w:t>
      </w:r>
      <w:r w:rsidRPr="00EF1C3D">
        <w:rPr>
          <w:rFonts w:ascii="Times New Roman" w:hAnsi="Times New Roman"/>
          <w:b/>
          <w:bCs/>
          <w:sz w:val="20"/>
          <w:szCs w:val="20"/>
        </w:rPr>
        <w:t xml:space="preserve">RAN2 to discuss </w:t>
      </w:r>
      <w:r>
        <w:rPr>
          <w:rFonts w:ascii="Times New Roman" w:hAnsi="Times New Roman"/>
          <w:b/>
          <w:bCs/>
          <w:sz w:val="20"/>
          <w:szCs w:val="20"/>
        </w:rPr>
        <w:t>how to</w:t>
      </w:r>
      <w:r w:rsidRPr="003601EB">
        <w:rPr>
          <w:rFonts w:ascii="Times New Roman" w:hAnsi="Times New Roman"/>
          <w:b/>
          <w:bCs/>
          <w:sz w:val="20"/>
          <w:szCs w:val="20"/>
        </w:rPr>
        <w:t xml:space="preserve"> </w:t>
      </w:r>
      <w:r>
        <w:rPr>
          <w:rFonts w:ascii="Times New Roman" w:hAnsi="Times New Roman"/>
          <w:b/>
          <w:bCs/>
          <w:sz w:val="20"/>
          <w:szCs w:val="20"/>
        </w:rPr>
        <w:t xml:space="preserve">efficiently indicate the cell reference location of an </w:t>
      </w:r>
      <w:r w:rsidRPr="00EF1C3D">
        <w:rPr>
          <w:rFonts w:ascii="Times New Roman" w:hAnsi="Times New Roman"/>
          <w:b/>
          <w:bCs/>
          <w:sz w:val="20"/>
          <w:szCs w:val="20"/>
        </w:rPr>
        <w:t>Earth-moving</w:t>
      </w:r>
      <w:r>
        <w:rPr>
          <w:rFonts w:ascii="Times New Roman" w:hAnsi="Times New Roman"/>
          <w:b/>
          <w:bCs/>
          <w:sz w:val="20"/>
          <w:szCs w:val="20"/>
        </w:rPr>
        <w:t xml:space="preserve"> cell to the UE</w:t>
      </w:r>
      <w:r w:rsidRPr="00EF1C3D">
        <w:rPr>
          <w:rFonts w:ascii="Times New Roman" w:hAnsi="Times New Roman"/>
          <w:b/>
          <w:bCs/>
          <w:sz w:val="20"/>
          <w:szCs w:val="20"/>
        </w:rPr>
        <w:t>.</w:t>
      </w:r>
    </w:p>
    <w:p w14:paraId="57E24FBF" w14:textId="5FBEAF8F" w:rsidR="000E18AA" w:rsidRPr="001B3CA9" w:rsidRDefault="001B3CA9" w:rsidP="003601EB">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Pr>
          <w:rFonts w:ascii="Times New Roman" w:hAnsi="Times New Roman"/>
          <w:b/>
          <w:bCs/>
          <w:sz w:val="20"/>
          <w:szCs w:val="20"/>
        </w:rPr>
        <w:t>3:</w:t>
      </w:r>
      <w:r w:rsidRPr="000E18AA">
        <w:rPr>
          <w:rFonts w:ascii="Times New Roman" w:hAnsi="Times New Roman"/>
          <w:b/>
          <w:bCs/>
          <w:sz w:val="20"/>
          <w:szCs w:val="20"/>
        </w:rPr>
        <w:t xml:space="preserve">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sectPr w:rsidR="000E18AA" w:rsidRPr="001B3CA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A50FC" w14:textId="77777777" w:rsidR="005C3E8A" w:rsidRDefault="005C3E8A">
      <w:r>
        <w:separator/>
      </w:r>
    </w:p>
  </w:endnote>
  <w:endnote w:type="continuationSeparator" w:id="0">
    <w:p w14:paraId="18C90E8D" w14:textId="77777777" w:rsidR="005C3E8A" w:rsidRDefault="005C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46F03" w14:textId="77777777" w:rsidR="005C3E8A" w:rsidRDefault="005C3E8A">
      <w:r>
        <w:separator/>
      </w:r>
    </w:p>
  </w:footnote>
  <w:footnote w:type="continuationSeparator" w:id="0">
    <w:p w14:paraId="3414FCDD" w14:textId="77777777" w:rsidR="005C3E8A" w:rsidRDefault="005C3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15304507">
    <w:abstractNumId w:val="25"/>
  </w:num>
  <w:num w:numId="2" w16cid:durableId="1259604324">
    <w:abstractNumId w:val="2"/>
  </w:num>
  <w:num w:numId="3" w16cid:durableId="636185181">
    <w:abstractNumId w:val="42"/>
  </w:num>
  <w:num w:numId="4" w16cid:durableId="1548687536">
    <w:abstractNumId w:val="4"/>
  </w:num>
  <w:num w:numId="5" w16cid:durableId="1849826552">
    <w:abstractNumId w:val="44"/>
  </w:num>
  <w:num w:numId="6" w16cid:durableId="1815222072">
    <w:abstractNumId w:val="21"/>
  </w:num>
  <w:num w:numId="7" w16cid:durableId="361126988">
    <w:abstractNumId w:val="12"/>
  </w:num>
  <w:num w:numId="8" w16cid:durableId="1680741173">
    <w:abstractNumId w:val="34"/>
  </w:num>
  <w:num w:numId="9" w16cid:durableId="1065950571">
    <w:abstractNumId w:val="6"/>
  </w:num>
  <w:num w:numId="10" w16cid:durableId="1172909025">
    <w:abstractNumId w:val="29"/>
  </w:num>
  <w:num w:numId="11" w16cid:durableId="1482621661">
    <w:abstractNumId w:val="31"/>
  </w:num>
  <w:num w:numId="12" w16cid:durableId="1636254052">
    <w:abstractNumId w:val="27"/>
  </w:num>
  <w:num w:numId="13" w16cid:durableId="1163928551">
    <w:abstractNumId w:val="32"/>
  </w:num>
  <w:num w:numId="14" w16cid:durableId="15276733">
    <w:abstractNumId w:val="19"/>
  </w:num>
  <w:num w:numId="15" w16cid:durableId="138772095">
    <w:abstractNumId w:val="3"/>
  </w:num>
  <w:num w:numId="16" w16cid:durableId="458301487">
    <w:abstractNumId w:val="28"/>
  </w:num>
  <w:num w:numId="17" w16cid:durableId="1716657009">
    <w:abstractNumId w:val="36"/>
  </w:num>
  <w:num w:numId="18" w16cid:durableId="1724788062">
    <w:abstractNumId w:val="30"/>
  </w:num>
  <w:num w:numId="19" w16cid:durableId="407188602">
    <w:abstractNumId w:val="36"/>
  </w:num>
  <w:num w:numId="20" w16cid:durableId="1144586254">
    <w:abstractNumId w:val="35"/>
  </w:num>
  <w:num w:numId="21" w16cid:durableId="1871992471">
    <w:abstractNumId w:val="36"/>
  </w:num>
  <w:num w:numId="22" w16cid:durableId="124742656">
    <w:abstractNumId w:val="10"/>
  </w:num>
  <w:num w:numId="23" w16cid:durableId="1583292519">
    <w:abstractNumId w:val="36"/>
  </w:num>
  <w:num w:numId="24" w16cid:durableId="1735620904">
    <w:abstractNumId w:val="9"/>
  </w:num>
  <w:num w:numId="25" w16cid:durableId="581304914">
    <w:abstractNumId w:val="8"/>
  </w:num>
  <w:num w:numId="26" w16cid:durableId="429275940">
    <w:abstractNumId w:val="23"/>
  </w:num>
  <w:num w:numId="27" w16cid:durableId="653224410">
    <w:abstractNumId w:val="37"/>
  </w:num>
  <w:num w:numId="28" w16cid:durableId="1735086102">
    <w:abstractNumId w:val="5"/>
  </w:num>
  <w:num w:numId="29" w16cid:durableId="839466868">
    <w:abstractNumId w:val="33"/>
  </w:num>
  <w:num w:numId="30" w16cid:durableId="324743033">
    <w:abstractNumId w:val="20"/>
  </w:num>
  <w:num w:numId="31" w16cid:durableId="1073552114">
    <w:abstractNumId w:val="46"/>
  </w:num>
  <w:num w:numId="32" w16cid:durableId="2135515118">
    <w:abstractNumId w:val="24"/>
  </w:num>
  <w:num w:numId="33" w16cid:durableId="592009943">
    <w:abstractNumId w:val="1"/>
  </w:num>
  <w:num w:numId="34" w16cid:durableId="1639921616">
    <w:abstractNumId w:val="14"/>
  </w:num>
  <w:num w:numId="35" w16cid:durableId="762577109">
    <w:abstractNumId w:val="0"/>
  </w:num>
  <w:num w:numId="36" w16cid:durableId="268397907">
    <w:abstractNumId w:val="38"/>
  </w:num>
  <w:num w:numId="37" w16cid:durableId="638265371">
    <w:abstractNumId w:val="17"/>
  </w:num>
  <w:num w:numId="38" w16cid:durableId="2047488699">
    <w:abstractNumId w:val="11"/>
  </w:num>
  <w:num w:numId="39" w16cid:durableId="2016837600">
    <w:abstractNumId w:val="41"/>
  </w:num>
  <w:num w:numId="40" w16cid:durableId="2122995710">
    <w:abstractNumId w:val="18"/>
  </w:num>
  <w:num w:numId="41" w16cid:durableId="488596904">
    <w:abstractNumId w:val="16"/>
  </w:num>
  <w:num w:numId="42" w16cid:durableId="875167777">
    <w:abstractNumId w:val="13"/>
  </w:num>
  <w:num w:numId="43" w16cid:durableId="1908146452">
    <w:abstractNumId w:val="43"/>
  </w:num>
  <w:num w:numId="44" w16cid:durableId="1068040700">
    <w:abstractNumId w:val="22"/>
  </w:num>
  <w:num w:numId="45" w16cid:durableId="1955865165">
    <w:abstractNumId w:val="39"/>
  </w:num>
  <w:num w:numId="46" w16cid:durableId="1664043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1661157">
    <w:abstractNumId w:val="45"/>
  </w:num>
  <w:num w:numId="48" w16cid:durableId="2145536252">
    <w:abstractNumId w:val="15"/>
  </w:num>
  <w:num w:numId="49" w16cid:durableId="746999722">
    <w:abstractNumId w:val="26"/>
  </w:num>
  <w:num w:numId="50" w16cid:durableId="1405949849">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CA9"/>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BF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74C"/>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62E"/>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3E8A"/>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4800"/>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56E"/>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F7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459"/>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0CF"/>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18D"/>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2</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96</cp:revision>
  <cp:lastPrinted>2012-10-30T00:20:00Z</cp:lastPrinted>
  <dcterms:created xsi:type="dcterms:W3CDTF">2020-08-03T07:44:00Z</dcterms:created>
  <dcterms:modified xsi:type="dcterms:W3CDTF">2023-02-17T01:38:00Z</dcterms:modified>
</cp:coreProperties>
</file>